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>628147 ХМАО-Югра, Березовский район, п.Светлый,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1A52948D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205737">
        <w:rPr>
          <w:sz w:val="24"/>
          <w:szCs w:val="24"/>
        </w:rPr>
        <w:t>29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2A372F4F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 Владимировой Натальи Владимировны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17A3101C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Pr="00205737">
        <w:rPr>
          <w:b/>
          <w:bCs/>
          <w:sz w:val="24"/>
          <w:szCs w:val="24"/>
        </w:rPr>
        <w:t>Владимировой Натальи Владимировны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43391C55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205737" w:rsidRPr="00205737">
        <w:rPr>
          <w:b/>
          <w:sz w:val="24"/>
          <w:szCs w:val="24"/>
        </w:rPr>
        <w:t>Владимирову Наталью Владимировну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0</w:t>
      </w:r>
      <w:r w:rsidR="00205737" w:rsidRPr="00205737">
        <w:rPr>
          <w:bCs/>
          <w:sz w:val="24"/>
          <w:szCs w:val="24"/>
        </w:rPr>
        <w:t>7</w:t>
      </w:r>
      <w:r w:rsidRPr="00205737">
        <w:rPr>
          <w:bCs/>
          <w:sz w:val="24"/>
          <w:szCs w:val="24"/>
        </w:rPr>
        <w:t xml:space="preserve"> минут.</w:t>
      </w:r>
    </w:p>
    <w:p w14:paraId="3E2C6DDB" w14:textId="72626549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205737" w:rsidRPr="00205737">
        <w:rPr>
          <w:b/>
          <w:sz w:val="24"/>
          <w:szCs w:val="24"/>
        </w:rPr>
        <w:t>Владимировой Наталье Владимировне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</w:t>
      </w:r>
      <w:bookmarkStart w:id="0" w:name="_GoBack"/>
      <w:bookmarkEnd w:id="0"/>
      <w:r w:rsidRPr="00205737">
        <w:rPr>
          <w:sz w:val="24"/>
          <w:szCs w:val="24"/>
        </w:rPr>
        <w:t>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Т.Л. Касьянчу</w:t>
      </w:r>
      <w:r w:rsidR="003E58E0">
        <w:rPr>
          <w:b/>
          <w:sz w:val="24"/>
          <w:szCs w:val="24"/>
        </w:rPr>
        <w:t>к</w:t>
      </w:r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3050-A5B0-4F17-BBFB-76EF0FB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2023-07-26T12:06:00Z</dcterms:created>
  <dcterms:modified xsi:type="dcterms:W3CDTF">2023-07-26T12:09:00Z</dcterms:modified>
</cp:coreProperties>
</file>