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715025">
        <w:rPr>
          <w:szCs w:val="28"/>
          <w:u w:val="single"/>
        </w:rPr>
        <w:t>00.00</w:t>
      </w:r>
      <w:r w:rsidR="004F5541">
        <w:rPr>
          <w:szCs w:val="28"/>
          <w:u w:val="single"/>
        </w:rPr>
        <w:t>.2016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715025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715025">
        <w:rPr>
          <w:snapToGrid w:val="0"/>
        </w:rPr>
        <w:t>7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napToGrid w:val="0"/>
        </w:rPr>
        <w:t>правоотношения</w:t>
      </w:r>
      <w:proofErr w:type="gramEnd"/>
      <w:r>
        <w:rPr>
          <w:snapToGrid w:val="0"/>
        </w:rPr>
        <w:t xml:space="preserve"> возникшие с 01.01.201</w:t>
      </w:r>
      <w:r w:rsidR="00715025">
        <w:rPr>
          <w:snapToGrid w:val="0"/>
        </w:rPr>
        <w:t>7</w:t>
      </w:r>
      <w:bookmarkStart w:id="0" w:name="_GoBack"/>
      <w:bookmarkEnd w:id="0"/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Контроль</w:t>
      </w:r>
      <w:r w:rsidRPr="00B365A4">
        <w:rPr>
          <w:snapToGrid w:val="0"/>
          <w:sz w:val="20"/>
        </w:rPr>
        <w:t xml:space="preserve"> </w:t>
      </w:r>
      <w:r>
        <w:rPr>
          <w:snapToGrid w:val="0"/>
        </w:rPr>
        <w:t>за</w:t>
      </w:r>
      <w:proofErr w:type="gramEnd"/>
      <w:r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>Глава поселения                                                                  О.В. Иванова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4F5541"/>
    <w:rsid w:val="00715025"/>
    <w:rsid w:val="00911255"/>
    <w:rsid w:val="00954628"/>
    <w:rsid w:val="00A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</cp:revision>
  <cp:lastPrinted>2016-03-28T06:41:00Z</cp:lastPrinted>
  <dcterms:created xsi:type="dcterms:W3CDTF">2017-02-10T08:33:00Z</dcterms:created>
  <dcterms:modified xsi:type="dcterms:W3CDTF">2016-11-02T09:15:00Z</dcterms:modified>
</cp:coreProperties>
</file>